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0D" w:rsidRDefault="0036730D" w:rsidP="0036730D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730D" w:rsidRDefault="0036730D" w:rsidP="0036730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36730D" w:rsidRDefault="0036730D" w:rsidP="0036730D">
      <w:pPr>
        <w:spacing w:after="120"/>
        <w:rPr>
          <w:rFonts w:ascii="Arial" w:hAnsi="Arial" w:cs="Arial"/>
          <w:b/>
          <w:sz w:val="22"/>
          <w:szCs w:val="22"/>
        </w:rPr>
      </w:pPr>
    </w:p>
    <w:p w:rsidR="0036730D" w:rsidRPr="007C5148" w:rsidRDefault="0036730D" w:rsidP="003673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36730D" w:rsidRPr="007C5148" w:rsidRDefault="0036730D" w:rsidP="003673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36730D" w:rsidRPr="0027774D" w:rsidRDefault="0036730D" w:rsidP="0036730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Niniejsza informacja dla Oferentów została wydana zgodnie z Rozporządzeniem o Ochronie Danych Osobowych (</w:t>
      </w:r>
      <w:r w:rsidRPr="0027774D">
        <w:rPr>
          <w:rFonts w:ascii="Arial" w:hAnsi="Arial" w:cs="Arial"/>
          <w:i/>
          <w:sz w:val="21"/>
          <w:szCs w:val="21"/>
        </w:rPr>
        <w:t xml:space="preserve">Rozporządzenie Parlamentu Europejskiego i Rady (UE) 2016/679 </w:t>
      </w:r>
      <w:r w:rsidR="0027774D">
        <w:rPr>
          <w:rFonts w:ascii="Arial" w:hAnsi="Arial" w:cs="Arial"/>
          <w:i/>
          <w:sz w:val="21"/>
          <w:szCs w:val="21"/>
        </w:rPr>
        <w:t xml:space="preserve">                   </w:t>
      </w:r>
      <w:r w:rsidRPr="0027774D">
        <w:rPr>
          <w:rFonts w:ascii="Arial" w:hAnsi="Arial" w:cs="Arial"/>
          <w:i/>
          <w:sz w:val="21"/>
          <w:szCs w:val="21"/>
        </w:rPr>
        <w:t xml:space="preserve">z dnia 27 kwietnia 2016 roku w sprawie ochrony osób fizycznych w związku </w:t>
      </w:r>
      <w:r w:rsidR="0027774D">
        <w:rPr>
          <w:rFonts w:ascii="Arial" w:hAnsi="Arial" w:cs="Arial"/>
          <w:i/>
          <w:sz w:val="21"/>
          <w:szCs w:val="21"/>
        </w:rPr>
        <w:t xml:space="preserve">                                    </w:t>
      </w:r>
      <w:r w:rsidRPr="0027774D">
        <w:rPr>
          <w:rFonts w:ascii="Arial" w:hAnsi="Arial" w:cs="Arial"/>
          <w:i/>
          <w:sz w:val="21"/>
          <w:szCs w:val="21"/>
        </w:rPr>
        <w:t>z przetwarzaniem</w:t>
      </w:r>
      <w:r w:rsidR="009D6E49" w:rsidRPr="0027774D">
        <w:rPr>
          <w:rFonts w:ascii="Arial" w:hAnsi="Arial" w:cs="Arial"/>
          <w:i/>
          <w:sz w:val="21"/>
          <w:szCs w:val="21"/>
        </w:rPr>
        <w:t xml:space="preserve"> </w:t>
      </w:r>
      <w:r w:rsidRPr="0027774D">
        <w:rPr>
          <w:rFonts w:ascii="Arial" w:hAnsi="Arial" w:cs="Arial"/>
          <w:i/>
          <w:sz w:val="21"/>
          <w:szCs w:val="21"/>
        </w:rPr>
        <w:t>danych</w:t>
      </w:r>
      <w:r w:rsidR="009D6E49" w:rsidRPr="0027774D">
        <w:rPr>
          <w:rFonts w:ascii="Arial" w:hAnsi="Arial" w:cs="Arial"/>
          <w:i/>
          <w:sz w:val="21"/>
          <w:szCs w:val="21"/>
        </w:rPr>
        <w:t xml:space="preserve"> </w:t>
      </w:r>
      <w:r w:rsidRPr="0027774D">
        <w:rPr>
          <w:rFonts w:ascii="Arial" w:hAnsi="Arial" w:cs="Arial"/>
          <w:i/>
          <w:sz w:val="21"/>
          <w:szCs w:val="21"/>
        </w:rPr>
        <w:t>osobowych</w:t>
      </w:r>
      <w:r w:rsidR="009D6E49" w:rsidRPr="0027774D">
        <w:rPr>
          <w:rFonts w:ascii="Arial" w:hAnsi="Arial" w:cs="Arial"/>
          <w:i/>
          <w:sz w:val="21"/>
          <w:szCs w:val="21"/>
        </w:rPr>
        <w:t xml:space="preserve"> </w:t>
      </w:r>
      <w:r w:rsidRPr="0027774D">
        <w:rPr>
          <w:rFonts w:ascii="Arial" w:hAnsi="Arial" w:cs="Arial"/>
          <w:i/>
          <w:sz w:val="21"/>
          <w:szCs w:val="21"/>
        </w:rPr>
        <w:t>i w sprawie swobodnego przepływu takich danych oraz uchylenia dyrektywy 95/46/WE obowiązujące od dnia 25 maja 2018 roku – dalej jako: RODO</w:t>
      </w:r>
      <w:r w:rsidRPr="0027774D">
        <w:rPr>
          <w:rFonts w:ascii="Arial" w:hAnsi="Arial" w:cs="Arial"/>
          <w:sz w:val="21"/>
          <w:szCs w:val="21"/>
        </w:rPr>
        <w:t xml:space="preserve">) i dotyczy danych osobowych pozyskiwanych przez Krajową </w:t>
      </w:r>
      <w:r w:rsidR="0027774D" w:rsidRPr="0027774D">
        <w:rPr>
          <w:rFonts w:ascii="Arial" w:hAnsi="Arial" w:cs="Arial"/>
          <w:sz w:val="21"/>
          <w:szCs w:val="21"/>
        </w:rPr>
        <w:t>Grupę Spożywczą</w:t>
      </w:r>
      <w:r w:rsidRPr="0027774D">
        <w:rPr>
          <w:rFonts w:ascii="Arial" w:hAnsi="Arial" w:cs="Arial"/>
          <w:sz w:val="21"/>
          <w:szCs w:val="21"/>
        </w:rPr>
        <w:t xml:space="preserve"> S.A. z siedzibą w Toruniu (87-100), przy ul. Kraszewskiego 40, KRS: 0000084678 (dalej zwaną „Spółką”) w postępowaniach dotyczących wyboru dostawców usług, składników aktywów trwałych oraz materiałów remontowych w toku procesu inwestycyjnego i remontowego </w:t>
      </w:r>
      <w:r w:rsidR="0027774D">
        <w:rPr>
          <w:rFonts w:ascii="Arial" w:hAnsi="Arial" w:cs="Arial"/>
          <w:sz w:val="21"/>
          <w:szCs w:val="21"/>
        </w:rPr>
        <w:t xml:space="preserve">                    </w:t>
      </w:r>
      <w:r w:rsidRPr="0027774D">
        <w:rPr>
          <w:rFonts w:ascii="Arial" w:hAnsi="Arial" w:cs="Arial"/>
          <w:sz w:val="21"/>
          <w:szCs w:val="21"/>
        </w:rPr>
        <w:t xml:space="preserve">w Krajowej </w:t>
      </w:r>
      <w:r w:rsidR="0027774D" w:rsidRPr="0027774D">
        <w:rPr>
          <w:rFonts w:ascii="Arial" w:hAnsi="Arial" w:cs="Arial"/>
          <w:sz w:val="21"/>
          <w:szCs w:val="21"/>
        </w:rPr>
        <w:t>Grupie Spożywczej</w:t>
      </w:r>
      <w:r w:rsidRPr="0027774D">
        <w:rPr>
          <w:rFonts w:ascii="Arial" w:hAnsi="Arial" w:cs="Arial"/>
          <w:sz w:val="21"/>
          <w:szCs w:val="21"/>
        </w:rPr>
        <w:t xml:space="preserve"> S.A. („Postępowanie”) jako administratora tych danych osobowych.</w:t>
      </w:r>
    </w:p>
    <w:p w:rsidR="0036730D" w:rsidRPr="0027774D" w:rsidRDefault="0036730D" w:rsidP="0036730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Dokument niniejszy zawiera informację o wszelkich formach przetwarzania danych osobowych </w:t>
      </w:r>
      <w:r w:rsidRPr="0027774D">
        <w:rPr>
          <w:rFonts w:ascii="Arial" w:hAnsi="Arial" w:cs="Arial"/>
          <w:sz w:val="21"/>
          <w:szCs w:val="21"/>
        </w:rPr>
        <w:br/>
        <w:t>w odniesieniu do:</w:t>
      </w:r>
    </w:p>
    <w:p w:rsidR="0036730D" w:rsidRPr="0027774D" w:rsidRDefault="0036730D" w:rsidP="0036730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osób fizycznych prowadzących działalność gospodarczą, biorących udział </w:t>
      </w:r>
      <w:r w:rsidR="0027774D">
        <w:rPr>
          <w:rFonts w:ascii="Arial" w:hAnsi="Arial" w:cs="Arial"/>
          <w:sz w:val="21"/>
          <w:szCs w:val="21"/>
        </w:rPr>
        <w:t xml:space="preserve">                                 </w:t>
      </w:r>
      <w:r w:rsidRPr="0027774D">
        <w:rPr>
          <w:rFonts w:ascii="Arial" w:hAnsi="Arial" w:cs="Arial"/>
          <w:sz w:val="21"/>
          <w:szCs w:val="21"/>
        </w:rPr>
        <w:t>w Postępowaniu,</w:t>
      </w:r>
    </w:p>
    <w:p w:rsidR="0036730D" w:rsidRPr="0027774D" w:rsidRDefault="0036730D" w:rsidP="0036730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36730D" w:rsidRPr="0027774D" w:rsidRDefault="0036730D" w:rsidP="00F77F93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innych osób, których dane Spółka przetwarza w celach weryfikacji złożonych ofert </w:t>
      </w:r>
      <w:r w:rsidRPr="0027774D">
        <w:rPr>
          <w:rFonts w:ascii="Arial" w:hAnsi="Arial" w:cs="Arial"/>
          <w:sz w:val="21"/>
          <w:szCs w:val="21"/>
        </w:rPr>
        <w:br/>
        <w:t>w Postępowaniu,</w:t>
      </w:r>
      <w:r w:rsidR="00D06F35" w:rsidRPr="0027774D">
        <w:rPr>
          <w:rFonts w:ascii="Arial" w:hAnsi="Arial" w:cs="Arial"/>
          <w:sz w:val="21"/>
          <w:szCs w:val="21"/>
        </w:rPr>
        <w:t xml:space="preserve"> </w:t>
      </w:r>
      <w:r w:rsidRPr="0027774D">
        <w:rPr>
          <w:rFonts w:ascii="Arial" w:hAnsi="Arial" w:cs="Arial"/>
          <w:sz w:val="21"/>
          <w:szCs w:val="21"/>
        </w:rPr>
        <w:t xml:space="preserve"> (łącznie „Oferenci”, „Kontrahenci”).</w:t>
      </w:r>
    </w:p>
    <w:p w:rsidR="0036730D" w:rsidRPr="0027774D" w:rsidRDefault="0036730D" w:rsidP="0036730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Dane osobowe nie będą przekazywane do państw trzecich, spoza Europejskiego Obszaru Gospodarczego.</w:t>
      </w:r>
    </w:p>
    <w:p w:rsidR="0036730D" w:rsidRPr="0027774D" w:rsidRDefault="0036730D" w:rsidP="0036730D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36730D" w:rsidRPr="0027774D" w:rsidRDefault="0036730D" w:rsidP="0036730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 w:val="21"/>
          <w:szCs w:val="21"/>
        </w:rPr>
      </w:pPr>
      <w:r w:rsidRPr="0027774D">
        <w:rPr>
          <w:rFonts w:ascii="Arial" w:hAnsi="Arial" w:cs="Arial"/>
          <w:b w:val="0"/>
          <w:sz w:val="21"/>
          <w:szCs w:val="21"/>
        </w:rPr>
        <w:t>W związku z Postępowaniem, Spółka może przetwarzać podane dane osobowe, takie jak:</w:t>
      </w:r>
    </w:p>
    <w:p w:rsidR="0036730D" w:rsidRPr="0027774D" w:rsidRDefault="0036730D" w:rsidP="0036730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imię i nazwisko, firma, adres prowadzenia działalności gospodarczej, adres korespondencyjny,</w:t>
      </w:r>
    </w:p>
    <w:p w:rsidR="0036730D" w:rsidRPr="0027774D" w:rsidRDefault="0036730D" w:rsidP="0036730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dane kontaktowe, takie jak adres e-mail lub numer telefonu lub faxu,</w:t>
      </w:r>
    </w:p>
    <w:p w:rsidR="0036730D" w:rsidRPr="0027774D" w:rsidRDefault="0036730D" w:rsidP="0036730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numery rejestrowe (PESEL, w tym numer NIP lub REGON),</w:t>
      </w:r>
    </w:p>
    <w:p w:rsidR="0036730D" w:rsidRPr="0027774D" w:rsidRDefault="0036730D" w:rsidP="0036730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posiadane doświadczenie lub uprawnienia,</w:t>
      </w:r>
    </w:p>
    <w:p w:rsidR="0036730D" w:rsidRPr="0027774D" w:rsidRDefault="0036730D" w:rsidP="0036730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stanowisko zajmowane w ramach danej organizacji lub pełnioną funkcję,</w:t>
      </w:r>
    </w:p>
    <w:p w:rsidR="0036730D" w:rsidRPr="0027774D" w:rsidRDefault="0036730D" w:rsidP="0036730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inne dane zawarte w oświadczeniach Oferenta lub referencjach przedstawianych </w:t>
      </w:r>
      <w:r w:rsidR="0027774D">
        <w:rPr>
          <w:rFonts w:ascii="Arial" w:hAnsi="Arial" w:cs="Arial"/>
          <w:sz w:val="21"/>
          <w:szCs w:val="21"/>
        </w:rPr>
        <w:t xml:space="preserve">                    </w:t>
      </w:r>
      <w:r w:rsidRPr="0027774D">
        <w:rPr>
          <w:rFonts w:ascii="Arial" w:hAnsi="Arial" w:cs="Arial"/>
          <w:sz w:val="21"/>
          <w:szCs w:val="21"/>
        </w:rPr>
        <w:t>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36730D" w:rsidRPr="0027774D" w:rsidRDefault="0036730D" w:rsidP="0036730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 w:val="21"/>
          <w:szCs w:val="21"/>
        </w:rPr>
      </w:pPr>
      <w:bookmarkStart w:id="1" w:name="_Hlk502769556"/>
      <w:r w:rsidRPr="0027774D">
        <w:rPr>
          <w:rFonts w:ascii="Arial" w:hAnsi="Arial" w:cs="Arial"/>
          <w:b w:val="0"/>
          <w:sz w:val="21"/>
          <w:szCs w:val="21"/>
        </w:rPr>
        <w:t>Spółka może również pozyskiwać dane osobowe:</w:t>
      </w:r>
    </w:p>
    <w:p w:rsidR="0036730D" w:rsidRPr="0027774D" w:rsidRDefault="0036730D" w:rsidP="0036730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od podmiotów zatrudniających lub które są przez dane osoby reprezentowane </w:t>
      </w:r>
      <w:r w:rsidR="0027774D">
        <w:rPr>
          <w:rFonts w:ascii="Arial" w:hAnsi="Arial" w:cs="Arial"/>
          <w:sz w:val="21"/>
          <w:szCs w:val="21"/>
        </w:rPr>
        <w:t xml:space="preserve">                        </w:t>
      </w:r>
      <w:r w:rsidRPr="0027774D">
        <w:rPr>
          <w:rFonts w:ascii="Arial" w:hAnsi="Arial" w:cs="Arial"/>
          <w:sz w:val="21"/>
          <w:szCs w:val="21"/>
        </w:rPr>
        <w:t xml:space="preserve">w zakresie informacji niezbędnych do prowadzenia Postępowania oraz kontaktu </w:t>
      </w:r>
      <w:r w:rsidR="0027774D">
        <w:rPr>
          <w:rFonts w:ascii="Arial" w:hAnsi="Arial" w:cs="Arial"/>
          <w:sz w:val="21"/>
          <w:szCs w:val="21"/>
        </w:rPr>
        <w:t xml:space="preserve">                   </w:t>
      </w:r>
      <w:r w:rsidRPr="0027774D">
        <w:rPr>
          <w:rFonts w:ascii="Arial" w:hAnsi="Arial" w:cs="Arial"/>
          <w:sz w:val="21"/>
          <w:szCs w:val="21"/>
        </w:rPr>
        <w:lastRenderedPageBreak/>
        <w:t>z Oferentem, np. o zmianie danych kontaktowych, zakończeniu zatrudnienia lub współpracy,</w:t>
      </w:r>
    </w:p>
    <w:p w:rsidR="0036730D" w:rsidRPr="0027774D" w:rsidRDefault="0036730D" w:rsidP="0036730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podwykonawców Oferentów od Oferentów, którzy dostarczyli Spółce takie dane </w:t>
      </w:r>
      <w:r w:rsidR="0027774D">
        <w:rPr>
          <w:rFonts w:ascii="Arial" w:hAnsi="Arial" w:cs="Arial"/>
          <w:sz w:val="21"/>
          <w:szCs w:val="21"/>
        </w:rPr>
        <w:t xml:space="preserve">                      </w:t>
      </w:r>
      <w:r w:rsidRPr="0027774D">
        <w:rPr>
          <w:rFonts w:ascii="Arial" w:hAnsi="Arial" w:cs="Arial"/>
          <w:sz w:val="21"/>
          <w:szCs w:val="21"/>
        </w:rPr>
        <w:t>w ramach Postępowania,</w:t>
      </w:r>
    </w:p>
    <w:p w:rsidR="0036730D" w:rsidRPr="0027774D" w:rsidRDefault="0036730D" w:rsidP="0036730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36730D" w:rsidRPr="0027774D" w:rsidRDefault="0036730D" w:rsidP="0036730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Dane są przetwarzane wyłącznie, gdy:</w:t>
      </w:r>
    </w:p>
    <w:p w:rsidR="0036730D" w:rsidRPr="0027774D" w:rsidRDefault="0036730D" w:rsidP="0036730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przetwarzanie jest niezbędne do podjęcia czynności przed zawarciem umowy (art. 6 ust. 1 lit. b RODO) - w zakresie danych osobowych osób prowadzących działalność gospodarczą, z którymi Spółka może zawrzeć umowę;</w:t>
      </w:r>
    </w:p>
    <w:p w:rsidR="0036730D" w:rsidRPr="0027774D" w:rsidRDefault="0036730D" w:rsidP="0036730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przetwarzanie jest niezbędne do wypełniania zobowiązań umownych w sytuacji, gdy są lub będą Państwo stroną umowy zawartej ze Spółką (art. 6 ust. 1 lit. b RODO);</w:t>
      </w:r>
    </w:p>
    <w:p w:rsidR="0036730D" w:rsidRPr="0027774D" w:rsidRDefault="0036730D" w:rsidP="0036730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36730D" w:rsidRPr="0027774D" w:rsidRDefault="0036730D" w:rsidP="0036730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przetwarzanie jest niezbędne dla realizacji uzasadnionych interesów Spółki lub osoby trzeciej 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umożliwienie Spółce kontaktu z Oferentami,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weryfikację złożonych ofert, 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weryfikację Oferentów w publicznych rejestrach,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weryfikację potencjału, doświadczenia oraz możliwości wykorzystania informacji </w:t>
      </w:r>
      <w:r w:rsidR="0027774D">
        <w:rPr>
          <w:rFonts w:ascii="Arial" w:hAnsi="Arial" w:cs="Arial"/>
          <w:sz w:val="21"/>
          <w:szCs w:val="21"/>
        </w:rPr>
        <w:t xml:space="preserve">                 </w:t>
      </w:r>
      <w:r w:rsidRPr="0027774D">
        <w:rPr>
          <w:rFonts w:ascii="Arial" w:hAnsi="Arial" w:cs="Arial"/>
          <w:sz w:val="21"/>
          <w:szCs w:val="21"/>
        </w:rPr>
        <w:t>w innych Postępowaniach (tworzenie bazy dostawców) prowadzonych przez Spółkę,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zapobieganie oszustwom oraz działalności przestępczej,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prowadzenie procesów audytu wewnętrznego i zewnętrznego,</w:t>
      </w:r>
    </w:p>
    <w:p w:rsidR="0036730D" w:rsidRPr="0027774D" w:rsidRDefault="0036730D" w:rsidP="0036730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ustalanie lub dochodzenie przez Spółkę roszczeń cywilnoprawnych w ramach prowadzonej działalności, a także obrona przed takimi roszczeniami.</w:t>
      </w:r>
    </w:p>
    <w:p w:rsidR="0036730D" w:rsidRPr="0027774D" w:rsidRDefault="0036730D" w:rsidP="0036730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1"/>
          <w:szCs w:val="21"/>
          <w:highlight w:val="yellow"/>
        </w:rPr>
      </w:pPr>
    </w:p>
    <w:p w:rsidR="0036730D" w:rsidRPr="0027774D" w:rsidRDefault="0036730D" w:rsidP="0036730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1"/>
          <w:szCs w:val="21"/>
          <w:highlight w:val="yellow"/>
        </w:rPr>
      </w:pPr>
    </w:p>
    <w:p w:rsidR="0036730D" w:rsidRPr="0027774D" w:rsidRDefault="0036730D" w:rsidP="0036730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1"/>
          <w:szCs w:val="21"/>
          <w:highlight w:val="yellow"/>
        </w:rPr>
      </w:pPr>
    </w:p>
    <w:p w:rsidR="0036730D" w:rsidRPr="0027774D" w:rsidRDefault="0036730D" w:rsidP="0036730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1"/>
          <w:szCs w:val="21"/>
          <w:highlight w:val="yellow"/>
        </w:rPr>
      </w:pPr>
    </w:p>
    <w:p w:rsidR="0036730D" w:rsidRPr="0027774D" w:rsidRDefault="0036730D" w:rsidP="0036730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1"/>
          <w:szCs w:val="21"/>
          <w:highlight w:val="yellow"/>
        </w:rPr>
      </w:pPr>
    </w:p>
    <w:p w:rsidR="0036730D" w:rsidRPr="0027774D" w:rsidRDefault="0036730D" w:rsidP="0036730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 w:val="21"/>
          <w:szCs w:val="21"/>
        </w:rPr>
      </w:pPr>
      <w:r w:rsidRPr="0027774D">
        <w:rPr>
          <w:rFonts w:ascii="Arial" w:hAnsi="Arial" w:cs="Arial"/>
          <w:b w:val="0"/>
          <w:sz w:val="21"/>
          <w:szCs w:val="21"/>
        </w:rPr>
        <w:t>Spółka może przekazywać dane osobowe tylko w zakresie, w jakim jest to niezbędne dla prowadzenia działalności przez Spółkę i nie będzie wykraczać poza zakres wskazany w ust. 6:</w:t>
      </w:r>
    </w:p>
    <w:p w:rsidR="0036730D" w:rsidRPr="0027774D" w:rsidRDefault="0036730D" w:rsidP="0036730D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podmiotom przetwarzającym dane osobowe na zlecenie Spółki, np.:</w:t>
      </w:r>
    </w:p>
    <w:p w:rsidR="0036730D" w:rsidRPr="0027774D" w:rsidRDefault="0036730D" w:rsidP="0036730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podmiotom świadczącym usługi archiwizacji dokumentów,</w:t>
      </w:r>
    </w:p>
    <w:p w:rsidR="0036730D" w:rsidRPr="0027774D" w:rsidRDefault="0036730D" w:rsidP="0036730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podmiotom świadczącym na rzecz Spółki usługi hostingu i serwisu poczty elektronicznej i innych elektronicznych środków komunikacji, a także systemów informatycznych;</w:t>
      </w:r>
    </w:p>
    <w:p w:rsidR="0036730D" w:rsidRPr="0027774D" w:rsidRDefault="0036730D" w:rsidP="0036730D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innym administratorom danych osobowych, takim jak:</w:t>
      </w:r>
    </w:p>
    <w:p w:rsidR="0036730D" w:rsidRPr="0027774D" w:rsidRDefault="0036730D" w:rsidP="0036730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dostawcy usług kurierskich lub pocztowych,</w:t>
      </w:r>
    </w:p>
    <w:p w:rsidR="0036730D" w:rsidRPr="0027774D" w:rsidRDefault="0036730D" w:rsidP="0036730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podmioty prowadzące działalność doradczą, podmioty prowadzące działalność audytorską oraz kancelarie prawne,</w:t>
      </w:r>
    </w:p>
    <w:p w:rsidR="0036730D" w:rsidRPr="0027774D" w:rsidRDefault="0036730D" w:rsidP="0036730D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innym osobom w ramach organizacji danego Oferenta lub podwykonawcy.</w:t>
      </w:r>
    </w:p>
    <w:p w:rsidR="0036730D" w:rsidRPr="0027774D" w:rsidRDefault="0036730D" w:rsidP="0036730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Dane osobowe są przetwarzane w celach określonych w ust. 6 powyżej i w zakresie koniecznym dla ich osiągnięcia tak długo, jak jest to niezbędne, w szczególności:</w:t>
      </w:r>
    </w:p>
    <w:p w:rsidR="0036730D" w:rsidRPr="0027774D" w:rsidRDefault="0036730D" w:rsidP="0036730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w celu obsługi Postępowania - przez czas trwania Postępowania,</w:t>
      </w:r>
    </w:p>
    <w:p w:rsidR="0036730D" w:rsidRPr="0027774D" w:rsidRDefault="0036730D" w:rsidP="0036730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lastRenderedPageBreak/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36730D" w:rsidRPr="0027774D" w:rsidRDefault="0036730D" w:rsidP="0036730D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dla celów ustalania lub dochodzenia przez Spółkę roszczeń cywilnoprawnych </w:t>
      </w:r>
      <w:r w:rsidR="0027774D" w:rsidRPr="0027774D">
        <w:rPr>
          <w:rFonts w:ascii="Arial" w:hAnsi="Arial" w:cs="Arial"/>
          <w:sz w:val="21"/>
          <w:szCs w:val="21"/>
        </w:rPr>
        <w:t xml:space="preserve">                              </w:t>
      </w:r>
      <w:r w:rsidRPr="0027774D">
        <w:rPr>
          <w:rFonts w:ascii="Arial" w:hAnsi="Arial" w:cs="Arial"/>
          <w:sz w:val="21"/>
          <w:szCs w:val="21"/>
        </w:rPr>
        <w:t>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36730D" w:rsidRPr="0027774D" w:rsidRDefault="0036730D" w:rsidP="0036730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 w:val="21"/>
          <w:szCs w:val="21"/>
        </w:rPr>
      </w:pPr>
      <w:r w:rsidRPr="0027774D">
        <w:rPr>
          <w:rFonts w:ascii="Arial" w:hAnsi="Arial" w:cs="Arial"/>
          <w:b w:val="0"/>
          <w:sz w:val="21"/>
          <w:szCs w:val="21"/>
        </w:rPr>
        <w:t>Każda osoba ma prawo: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wycofania zgody w każdym momencie (z zastrzeżeniem, że wycofanie to nie naruszy zgodności z prawem przetwarzania danych dokonanego przed wycofaniem),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żądania</w:t>
      </w:r>
      <w:r w:rsidRPr="0027774D">
        <w:rPr>
          <w:rStyle w:val="shorttext"/>
          <w:rFonts w:ascii="Arial" w:hAnsi="Arial" w:cs="Arial"/>
          <w:sz w:val="21"/>
          <w:szCs w:val="21"/>
        </w:rPr>
        <w:t xml:space="preserve"> usunięcia danych osobowych - w przypadkach określonych </w:t>
      </w:r>
      <w:r w:rsidRPr="0027774D">
        <w:rPr>
          <w:rFonts w:ascii="Arial" w:hAnsi="Arial" w:cs="Arial"/>
          <w:sz w:val="21"/>
          <w:szCs w:val="21"/>
        </w:rPr>
        <w:t>przepisami</w:t>
      </w:r>
      <w:r w:rsidRPr="0027774D">
        <w:rPr>
          <w:rStyle w:val="shorttext"/>
          <w:rFonts w:ascii="Arial" w:hAnsi="Arial" w:cs="Arial"/>
          <w:sz w:val="21"/>
          <w:szCs w:val="21"/>
        </w:rPr>
        <w:t xml:space="preserve"> RODO,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  <w:sz w:val="21"/>
          <w:szCs w:val="21"/>
        </w:rPr>
      </w:pPr>
      <w:r w:rsidRPr="0027774D">
        <w:rPr>
          <w:rStyle w:val="shorttext"/>
          <w:rFonts w:ascii="Arial" w:hAnsi="Arial" w:cs="Arial"/>
          <w:sz w:val="21"/>
          <w:szCs w:val="21"/>
        </w:rPr>
        <w:t>żądania</w:t>
      </w:r>
      <w:r w:rsidRPr="0027774D">
        <w:rPr>
          <w:rFonts w:ascii="Arial" w:hAnsi="Arial" w:cs="Arial"/>
          <w:sz w:val="21"/>
          <w:szCs w:val="21"/>
        </w:rPr>
        <w:t xml:space="preserve"> sprostowania lub ograniczenia przetwarzania danych osobowych - </w:t>
      </w:r>
      <w:r w:rsidR="0027774D" w:rsidRPr="0027774D">
        <w:rPr>
          <w:rFonts w:ascii="Arial" w:hAnsi="Arial" w:cs="Arial"/>
          <w:sz w:val="21"/>
          <w:szCs w:val="21"/>
        </w:rPr>
        <w:t xml:space="preserve">                         </w:t>
      </w:r>
      <w:r w:rsidRPr="0027774D">
        <w:rPr>
          <w:rStyle w:val="shorttext"/>
          <w:rFonts w:ascii="Arial" w:hAnsi="Arial" w:cs="Arial"/>
          <w:sz w:val="21"/>
          <w:szCs w:val="21"/>
        </w:rPr>
        <w:t>w przypadkach określonych przepisami RODO,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przeniesienia danych, tj. otrzymania danych osobowych przekazanych Spółce </w:t>
      </w:r>
      <w:r w:rsidR="0027774D" w:rsidRPr="0027774D">
        <w:rPr>
          <w:rFonts w:ascii="Arial" w:hAnsi="Arial" w:cs="Arial"/>
          <w:sz w:val="21"/>
          <w:szCs w:val="21"/>
        </w:rPr>
        <w:t xml:space="preserve">                    </w:t>
      </w:r>
      <w:r w:rsidRPr="0027774D">
        <w:rPr>
          <w:rFonts w:ascii="Arial" w:hAnsi="Arial" w:cs="Arial"/>
          <w:sz w:val="21"/>
          <w:szCs w:val="21"/>
        </w:rPr>
        <w:t>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36730D" w:rsidRPr="0027774D" w:rsidRDefault="0036730D" w:rsidP="0036730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złożenia skargi do właściwego organu ochrony danych osobowych - Prezesa Urzędu Ochrony Danych Osobowych. </w:t>
      </w:r>
    </w:p>
    <w:p w:rsidR="0036730D" w:rsidRPr="0027774D" w:rsidRDefault="0036730D" w:rsidP="0036730D">
      <w:pPr>
        <w:pStyle w:val="Body2"/>
        <w:spacing w:after="120" w:line="240" w:lineRule="auto"/>
        <w:ind w:left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sz w:val="21"/>
          <w:szCs w:val="21"/>
        </w:rPr>
        <w:t xml:space="preserve">Prośby, żądania lub sprzeciwy będą przez Spółkę weryfikowane zgodnie z obowiązującymi przepisami. Zastrzega się, że w odpowiedzi na żądanie Spółka może poprosić </w:t>
      </w:r>
      <w:r w:rsidR="0027774D">
        <w:rPr>
          <w:rFonts w:ascii="Arial" w:hAnsi="Arial" w:cs="Arial"/>
          <w:sz w:val="21"/>
          <w:szCs w:val="21"/>
        </w:rPr>
        <w:t xml:space="preserve">                               </w:t>
      </w:r>
      <w:r w:rsidRPr="0027774D">
        <w:rPr>
          <w:rFonts w:ascii="Arial" w:hAnsi="Arial" w:cs="Arial"/>
          <w:sz w:val="21"/>
          <w:szCs w:val="21"/>
        </w:rPr>
        <w:t xml:space="preserve">o zweryfikowanie tożsamości lub podanie informacji, które umożliwią poznanie istotnych okoliczności sprawy. </w:t>
      </w:r>
    </w:p>
    <w:p w:rsidR="0036730D" w:rsidRPr="0027774D" w:rsidRDefault="0036730D" w:rsidP="0036730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 w:val="21"/>
          <w:szCs w:val="21"/>
        </w:rPr>
      </w:pPr>
      <w:bookmarkStart w:id="2" w:name="_Hlk508401016"/>
      <w:r w:rsidRPr="0027774D">
        <w:rPr>
          <w:rFonts w:ascii="Arial" w:hAnsi="Arial" w:cs="Arial"/>
          <w:b w:val="0"/>
          <w:sz w:val="21"/>
          <w:szCs w:val="21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36730D" w:rsidRPr="0027774D" w:rsidRDefault="0036730D" w:rsidP="0036730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 w:val="21"/>
          <w:szCs w:val="21"/>
        </w:rPr>
      </w:pPr>
      <w:r w:rsidRPr="0027774D">
        <w:rPr>
          <w:rFonts w:ascii="Arial" w:hAnsi="Arial" w:cs="Arial"/>
          <w:b w:val="0"/>
          <w:sz w:val="21"/>
          <w:szCs w:val="21"/>
        </w:rPr>
        <w:t xml:space="preserve">Jeżeli będzie to wymagane prawem, informacje dotyczące ewentualnych zmian przetwarzania danych osobowych opisanych w niniejszym dokumencie, zostaną przekazane za pośrednictwem adekwatnej formy komunikacji zazwyczaj używanej przez Spółkę </w:t>
      </w:r>
      <w:r w:rsidR="0027774D">
        <w:rPr>
          <w:rFonts w:ascii="Arial" w:hAnsi="Arial" w:cs="Arial"/>
          <w:b w:val="0"/>
          <w:sz w:val="21"/>
          <w:szCs w:val="21"/>
        </w:rPr>
        <w:t xml:space="preserve">                               </w:t>
      </w:r>
      <w:r w:rsidRPr="0027774D">
        <w:rPr>
          <w:rFonts w:ascii="Arial" w:hAnsi="Arial" w:cs="Arial"/>
          <w:b w:val="0"/>
          <w:sz w:val="21"/>
          <w:szCs w:val="21"/>
        </w:rPr>
        <w:t>w kontaktach z Oferentami.</w:t>
      </w:r>
    </w:p>
    <w:p w:rsidR="0036730D" w:rsidRPr="0027774D" w:rsidRDefault="0036730D" w:rsidP="0036730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27774D">
        <w:rPr>
          <w:rFonts w:ascii="Arial" w:hAnsi="Arial" w:cs="Arial"/>
          <w:b w:val="0"/>
          <w:sz w:val="21"/>
          <w:szCs w:val="21"/>
        </w:rPr>
        <w:t>Kontakt z Inspektorem Ochrony Danych można uzyskać pod adresem e-mail: iod@polski-cukier.pl.</w:t>
      </w:r>
    </w:p>
    <w:p w:rsidR="0036730D" w:rsidRPr="0027774D" w:rsidRDefault="0036730D" w:rsidP="0036730D">
      <w:pPr>
        <w:spacing w:after="120"/>
        <w:ind w:left="426" w:hanging="426"/>
        <w:jc w:val="center"/>
        <w:rPr>
          <w:rFonts w:ascii="Arial" w:hAnsi="Arial" w:cs="Arial"/>
          <w:sz w:val="21"/>
          <w:szCs w:val="21"/>
        </w:rPr>
      </w:pPr>
    </w:p>
    <w:p w:rsidR="00A6146A" w:rsidRDefault="00A6146A"/>
    <w:sectPr w:rsidR="00A6146A" w:rsidSect="00A614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08" w:rsidRDefault="00A84808" w:rsidP="00DC342E">
      <w:r>
        <w:separator/>
      </w:r>
    </w:p>
  </w:endnote>
  <w:endnote w:type="continuationSeparator" w:id="0">
    <w:p w:rsidR="00A84808" w:rsidRDefault="00A84808" w:rsidP="00DC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4D" w:rsidRDefault="0027774D" w:rsidP="0027774D">
    <w:pPr>
      <w:jc w:val="right"/>
    </w:pPr>
    <w:r>
      <w:rPr>
        <w:color w:val="999999"/>
      </w:rPr>
      <w:t xml:space="preserve">Strona </w:t>
    </w:r>
    <w:r>
      <w:rPr>
        <w:color w:val="999999"/>
      </w:rPr>
      <w:fldChar w:fldCharType="begin"/>
    </w:r>
    <w:r>
      <w:rPr>
        <w:color w:val="999999"/>
      </w:rPr>
      <w:instrText xml:space="preserve"> PAGE </w:instrText>
    </w:r>
    <w:r>
      <w:rPr>
        <w:color w:val="999999"/>
      </w:rPr>
      <w:fldChar w:fldCharType="separate"/>
    </w:r>
    <w:r w:rsidR="00C96EC9">
      <w:rPr>
        <w:noProof/>
        <w:color w:val="999999"/>
      </w:rPr>
      <w:t>1</w:t>
    </w:r>
    <w:r>
      <w:rPr>
        <w:color w:val="999999"/>
      </w:rPr>
      <w:fldChar w:fldCharType="end"/>
    </w:r>
    <w:r>
      <w:rPr>
        <w:color w:val="999999"/>
      </w:rPr>
      <w:t xml:space="preserve"> z </w:t>
    </w:r>
    <w:r>
      <w:rPr>
        <w:color w:val="999999"/>
      </w:rPr>
      <w:fldChar w:fldCharType="begin"/>
    </w:r>
    <w:r>
      <w:rPr>
        <w:color w:val="999999"/>
      </w:rPr>
      <w:instrText xml:space="preserve"> NUMPAGES \*Arabic </w:instrText>
    </w:r>
    <w:r>
      <w:rPr>
        <w:color w:val="999999"/>
      </w:rPr>
      <w:fldChar w:fldCharType="separate"/>
    </w:r>
    <w:r w:rsidR="00C96EC9">
      <w:rPr>
        <w:noProof/>
        <w:color w:val="999999"/>
      </w:rPr>
      <w:t>3</w:t>
    </w:r>
    <w:r>
      <w:rPr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08" w:rsidRDefault="00A84808" w:rsidP="00DC342E">
      <w:r>
        <w:separator/>
      </w:r>
    </w:p>
  </w:footnote>
  <w:footnote w:type="continuationSeparator" w:id="0">
    <w:p w:rsidR="00A84808" w:rsidRDefault="00A84808" w:rsidP="00DC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5D" w:rsidRPr="00042B5D" w:rsidRDefault="00042B5D" w:rsidP="00042B5D">
    <w:pPr>
      <w:pStyle w:val="Nagwek"/>
      <w:jc w:val="center"/>
      <w:rPr>
        <w:rFonts w:ascii="Arial" w:hAnsi="Arial" w:cs="Arial"/>
        <w:b/>
        <w:color w:val="000000"/>
        <w:spacing w:val="15"/>
        <w:szCs w:val="24"/>
        <w:lang w:eastAsia="zh-CN"/>
      </w:rPr>
    </w:pPr>
    <w:r w:rsidRPr="00042B5D">
      <w:rPr>
        <w:rFonts w:ascii="Arial" w:hAnsi="Arial" w:cs="Arial"/>
        <w:b/>
        <w:color w:val="000000"/>
        <w:spacing w:val="15"/>
        <w:szCs w:val="24"/>
        <w:lang w:eastAsia="zh-CN"/>
      </w:rPr>
      <w:t>CUKROWNIA DOBRZELIN – procedura wyboru dostawcy usług.</w:t>
    </w:r>
  </w:p>
  <w:p w:rsidR="0027774D" w:rsidRPr="00042B5D" w:rsidRDefault="00042B5D" w:rsidP="00042B5D">
    <w:pPr>
      <w:pStyle w:val="Nagwek"/>
      <w:jc w:val="center"/>
    </w:pPr>
    <w:r w:rsidRPr="00042B5D">
      <w:rPr>
        <w:rFonts w:ascii="Arial" w:hAnsi="Arial" w:cs="Arial"/>
        <w:b/>
        <w:color w:val="000000"/>
        <w:spacing w:val="15"/>
        <w:szCs w:val="24"/>
        <w:lang w:eastAsia="zh-CN"/>
      </w:rPr>
      <w:t>Wykonanie dokumentacji modernizacji stacji pras błota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0D"/>
    <w:rsid w:val="00042B5D"/>
    <w:rsid w:val="00106C65"/>
    <w:rsid w:val="0027774D"/>
    <w:rsid w:val="0036730D"/>
    <w:rsid w:val="003A26B7"/>
    <w:rsid w:val="00632645"/>
    <w:rsid w:val="008617C0"/>
    <w:rsid w:val="008F203B"/>
    <w:rsid w:val="008F509F"/>
    <w:rsid w:val="00923A1C"/>
    <w:rsid w:val="009D6E49"/>
    <w:rsid w:val="00A6146A"/>
    <w:rsid w:val="00A84808"/>
    <w:rsid w:val="00B009C4"/>
    <w:rsid w:val="00BA4704"/>
    <w:rsid w:val="00BB3471"/>
    <w:rsid w:val="00C96EC9"/>
    <w:rsid w:val="00D06F35"/>
    <w:rsid w:val="00D92768"/>
    <w:rsid w:val="00D973E7"/>
    <w:rsid w:val="00DC342E"/>
    <w:rsid w:val="00F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E28B0-906F-485C-B6B4-563DDDA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3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730D"/>
    <w:pPr>
      <w:ind w:left="720"/>
      <w:contextualSpacing/>
    </w:pPr>
  </w:style>
  <w:style w:type="paragraph" w:customStyle="1" w:styleId="Body">
    <w:name w:val="Body"/>
    <w:basedOn w:val="Normalny"/>
    <w:rsid w:val="0036730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36730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36730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36730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6730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36730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36730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36730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36730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36730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36730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36730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36730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673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36730D"/>
  </w:style>
  <w:style w:type="paragraph" w:styleId="Nagwek">
    <w:name w:val="header"/>
    <w:basedOn w:val="Normalny"/>
    <w:link w:val="NagwekZnak"/>
    <w:uiPriority w:val="99"/>
    <w:unhideWhenUsed/>
    <w:rsid w:val="00DC3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27774D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D3EB-C15F-475B-9430-4243FCEE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Szewczyk</dc:creator>
  <cp:lastModifiedBy>Dorota Świątkowska</cp:lastModifiedBy>
  <cp:revision>2</cp:revision>
  <cp:lastPrinted>2022-06-10T13:18:00Z</cp:lastPrinted>
  <dcterms:created xsi:type="dcterms:W3CDTF">2023-07-20T11:22:00Z</dcterms:created>
  <dcterms:modified xsi:type="dcterms:W3CDTF">2023-07-20T11:22:00Z</dcterms:modified>
</cp:coreProperties>
</file>